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DB0C27" w:rsidRDefault="00DB0C27"/>
    <w:p w:rsidR="00DB0C27" w:rsidRPr="00345486" w:rsidRDefault="00DB0C27" w:rsidP="00DB0C27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DB0C27" w:rsidRDefault="00DB0C27" w:rsidP="00DB0C27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DB0C27" w:rsidRDefault="00DB0C27" w:rsidP="00DB0C27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FF0D2C">
        <w:rPr>
          <w:rFonts w:ascii="Verdana" w:hAnsi="Verdana"/>
          <w:b/>
          <w:i/>
          <w:sz w:val="20"/>
          <w:szCs w:val="22"/>
        </w:rPr>
        <w:t xml:space="preserve">Εργασίες συντήρησης του </w:t>
      </w:r>
      <w:r>
        <w:rPr>
          <w:rFonts w:ascii="Verdana" w:hAnsi="Verdana"/>
          <w:b/>
          <w:i/>
          <w:sz w:val="20"/>
          <w:szCs w:val="22"/>
        </w:rPr>
        <w:t>υδραυλικού</w:t>
      </w:r>
      <w:r w:rsidRPr="00FF0D2C">
        <w:rPr>
          <w:rFonts w:ascii="Verdana" w:hAnsi="Verdana"/>
          <w:b/>
          <w:i/>
          <w:sz w:val="20"/>
          <w:szCs w:val="22"/>
        </w:rPr>
        <w:t xml:space="preserve"> </w:t>
      </w:r>
      <w:r w:rsidRPr="00FF0D2C">
        <w:rPr>
          <w:rFonts w:ascii="Verdana" w:hAnsi="Verdana"/>
          <w:b/>
          <w:i/>
          <w:sz w:val="20"/>
          <w:szCs w:val="22"/>
        </w:rPr>
        <w:t>δικτύου των κτηρίων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DB0C27" w:rsidRPr="00345486" w:rsidRDefault="00DB0C27" w:rsidP="00DB0C27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DB0C27" w:rsidRPr="00345486" w:rsidRDefault="00DB0C27" w:rsidP="00DB0C27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DB0C27" w:rsidRPr="00345486" w:rsidRDefault="00DB0C27" w:rsidP="00DB0C27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DB0C27" w:rsidRPr="00345486" w:rsidRDefault="00DB0C27" w:rsidP="00DB0C27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050"/>
        <w:gridCol w:w="1350"/>
        <w:gridCol w:w="1440"/>
        <w:gridCol w:w="1818"/>
      </w:tblGrid>
      <w:tr w:rsidR="00DB0C27" w:rsidRPr="00582B2F" w:rsidTr="0088588D">
        <w:tc>
          <w:tcPr>
            <w:tcW w:w="918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Α/Α</w:t>
            </w:r>
          </w:p>
        </w:tc>
        <w:tc>
          <w:tcPr>
            <w:tcW w:w="4050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ΠΡΟΔΙΑΓΡΑΦΗ</w:t>
            </w:r>
          </w:p>
        </w:tc>
        <w:tc>
          <w:tcPr>
            <w:tcW w:w="1350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ΑΠΑΙΤΗΣΗ</w:t>
            </w:r>
          </w:p>
        </w:tc>
        <w:tc>
          <w:tcPr>
            <w:tcW w:w="1440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ΠΑΡΑΠΟΜΠΗ ΤΕΚΜΗΡΙΩΣΗΣ</w:t>
            </w:r>
          </w:p>
        </w:tc>
      </w:tr>
      <w:tr w:rsidR="00DB0C27" w:rsidRPr="00582B2F" w:rsidTr="0088588D">
        <w:tc>
          <w:tcPr>
            <w:tcW w:w="918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582B2F">
              <w:rPr>
                <w:rFonts w:ascii="Verdana" w:hAnsi="Verdana" w:cs="Arial"/>
                <w:i/>
                <w:sz w:val="20"/>
                <w:szCs w:val="20"/>
              </w:rPr>
              <w:t>1.</w:t>
            </w:r>
          </w:p>
        </w:tc>
        <w:tc>
          <w:tcPr>
            <w:tcW w:w="4050" w:type="dxa"/>
          </w:tcPr>
          <w:p w:rsidR="00DB0C27" w:rsidRPr="000734E8" w:rsidRDefault="00DB0C27" w:rsidP="0088588D">
            <w:pPr>
              <w:jc w:val="both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Να κατέχει άδεια 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>από Περιφέρεια σύμφωνα με το ΠΔ 112 /2012 (ΦΕΚ 197 Α ) 1ης ειδικότητας , 3ης βαθμίδας.</w:t>
            </w:r>
          </w:p>
        </w:tc>
        <w:tc>
          <w:tcPr>
            <w:tcW w:w="1350" w:type="dxa"/>
            <w:vAlign w:val="center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2B2F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18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B0C27" w:rsidRPr="00582B2F" w:rsidTr="0088588D">
        <w:tc>
          <w:tcPr>
            <w:tcW w:w="918" w:type="dxa"/>
          </w:tcPr>
          <w:p w:rsidR="00DB0C27" w:rsidRPr="000F7463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4050" w:type="dxa"/>
          </w:tcPr>
          <w:p w:rsidR="00DB0C27" w:rsidRPr="00B85857" w:rsidRDefault="00DB0C27" w:rsidP="0088588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85857">
              <w:rPr>
                <w:rFonts w:ascii="Times New Roman" w:hAnsi="Times New Roman"/>
                <w:sz w:val="20"/>
                <w:szCs w:val="24"/>
              </w:rPr>
              <w:t xml:space="preserve">Να έχει την ευχέρεια να παραδίδει στην Τεχνική Υπηρεσία, εφόσον χρειαστεί, μικρές τεχνικές περιγραφές - προδιαγραφές για τα </w:t>
            </w:r>
            <w:proofErr w:type="spellStart"/>
            <w:r w:rsidRPr="00B85857">
              <w:rPr>
                <w:rFonts w:ascii="Times New Roman" w:hAnsi="Times New Roman"/>
                <w:sz w:val="20"/>
                <w:szCs w:val="24"/>
              </w:rPr>
              <w:t>μικρο</w:t>
            </w:r>
            <w:proofErr w:type="spellEnd"/>
            <w:r w:rsidRPr="00B85857">
              <w:rPr>
                <w:rFonts w:ascii="Times New Roman" w:hAnsi="Times New Roman"/>
                <w:sz w:val="20"/>
                <w:szCs w:val="24"/>
              </w:rPr>
              <w:t>-έργα που τυχόν προκύψουν για την από-κατάσταση των βλαβών που θα διαγνωστούν</w:t>
            </w:r>
          </w:p>
          <w:p w:rsidR="00DB0C27" w:rsidRPr="000734E8" w:rsidRDefault="00DB0C27" w:rsidP="0088588D">
            <w:pPr>
              <w:jc w:val="both"/>
              <w:rPr>
                <w:rFonts w:ascii="Verdana" w:hAnsi="Verdana"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DB0C27" w:rsidRPr="000F7463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18" w:type="dxa"/>
          </w:tcPr>
          <w:p w:rsidR="00DB0C27" w:rsidRPr="00582B2F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DB0C27" w:rsidRPr="00FE16E0" w:rsidTr="0088588D">
        <w:tc>
          <w:tcPr>
            <w:tcW w:w="918" w:type="dxa"/>
          </w:tcPr>
          <w:p w:rsidR="00DB0C27" w:rsidRPr="00B85857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3.</w:t>
            </w:r>
          </w:p>
        </w:tc>
        <w:tc>
          <w:tcPr>
            <w:tcW w:w="4050" w:type="dxa"/>
          </w:tcPr>
          <w:p w:rsidR="00DB0C27" w:rsidRPr="000F7463" w:rsidRDefault="00DB0C27" w:rsidP="0088588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Να μπορεί να κάνει 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>διάγνωση βλαβών στα δίκτυα κεντρικής θέρμανσης, ύδρευσης, αποχέτευσης (όμβριων και ακαθάρτων), άρδευσης του ΓΠΑ και στα στοιχεία των εγκαταστάσεων αυτών. Έπειτα από συνεννόηση με την Τεχνική Υπηρεσία, Τμήμα Β΄ (ΤΥΒ) θα μεριμνά για την αποκατάσταση των βλαβών ή την εκτίμηση τεχνικής λύσης και κόστους.</w:t>
            </w:r>
          </w:p>
        </w:tc>
        <w:tc>
          <w:tcPr>
            <w:tcW w:w="1350" w:type="dxa"/>
            <w:vAlign w:val="center"/>
          </w:tcPr>
          <w:p w:rsidR="00DB0C27" w:rsidRPr="000F7463" w:rsidRDefault="00DB0C27" w:rsidP="0088588D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</w:tr>
      <w:tr w:rsidR="00DB0C27" w:rsidRPr="00FE16E0" w:rsidTr="0088588D">
        <w:tc>
          <w:tcPr>
            <w:tcW w:w="918" w:type="dxa"/>
          </w:tcPr>
          <w:p w:rsidR="00DB0C27" w:rsidRPr="00B85857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4.</w:t>
            </w:r>
          </w:p>
        </w:tc>
        <w:tc>
          <w:tcPr>
            <w:tcW w:w="4050" w:type="dxa"/>
          </w:tcPr>
          <w:p w:rsidR="00DB0C27" w:rsidRDefault="00DB0C27" w:rsidP="0088588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Ά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>μεση επέμβαση (εντός 3 ωρών), εκτός του ωραρίου του, σε έκτακτη σοβαρή βλάβη ή ζημία του Πανεπιστημίου, όταν του ζητηθεί αποκλειστικά και μόνο από την ΤΥΒ.</w:t>
            </w:r>
          </w:p>
        </w:tc>
        <w:tc>
          <w:tcPr>
            <w:tcW w:w="1350" w:type="dxa"/>
            <w:vAlign w:val="center"/>
          </w:tcPr>
          <w:p w:rsidR="00DB0C27" w:rsidRDefault="00DB0C27" w:rsidP="0088588D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</w:tr>
      <w:tr w:rsidR="00DB0C27" w:rsidRPr="00FE16E0" w:rsidTr="0088588D">
        <w:tc>
          <w:tcPr>
            <w:tcW w:w="918" w:type="dxa"/>
          </w:tcPr>
          <w:p w:rsidR="00DB0C27" w:rsidRPr="00B85857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4050" w:type="dxa"/>
          </w:tcPr>
          <w:p w:rsidR="00DB0C27" w:rsidRDefault="00DB0C27" w:rsidP="0088588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Θ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>α ενημερώνει σε τακτά χρονικά διαστήματα την ΤΥΒ για τις τρέχουσες ανάγκες σε υλικά / ανταλλακτικά</w:t>
            </w:r>
          </w:p>
        </w:tc>
        <w:tc>
          <w:tcPr>
            <w:tcW w:w="1350" w:type="dxa"/>
            <w:vAlign w:val="center"/>
          </w:tcPr>
          <w:p w:rsidR="00DB0C27" w:rsidRDefault="00DB0C27" w:rsidP="0088588D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</w:tr>
      <w:tr w:rsidR="00DB0C27" w:rsidRPr="00FE16E0" w:rsidTr="0088588D">
        <w:tc>
          <w:tcPr>
            <w:tcW w:w="918" w:type="dxa"/>
          </w:tcPr>
          <w:p w:rsidR="00DB0C27" w:rsidRPr="000F7463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6</w:t>
            </w:r>
            <w:r w:rsidRPr="000F746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4050" w:type="dxa"/>
          </w:tcPr>
          <w:p w:rsidR="00DB0C27" w:rsidRPr="000F7463" w:rsidRDefault="00DB0C27" w:rsidP="0088588D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0F7463">
              <w:rPr>
                <w:rFonts w:ascii="Times New Roman" w:hAnsi="Times New Roman"/>
                <w:sz w:val="20"/>
                <w:szCs w:val="24"/>
              </w:rPr>
              <w:t xml:space="preserve">Να μπορεί να παραδίδει 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>στην ΤΥΒ (εφ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όσον του ζητείται) μονογραμμικά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σχέδία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/σκαριφήματα</w:t>
            </w:r>
            <w:r w:rsidRPr="00B85857">
              <w:rPr>
                <w:rFonts w:ascii="Times New Roman" w:hAnsi="Times New Roman"/>
                <w:sz w:val="20"/>
                <w:szCs w:val="24"/>
              </w:rPr>
              <w:t xml:space="preserve"> των επισκευών και μεταβολών που πραγματοποιεί στα δίκτυα του ΓΠΑ</w:t>
            </w:r>
          </w:p>
        </w:tc>
        <w:tc>
          <w:tcPr>
            <w:tcW w:w="1350" w:type="dxa"/>
            <w:vAlign w:val="center"/>
          </w:tcPr>
          <w:p w:rsidR="00DB0C27" w:rsidRPr="000F7463" w:rsidRDefault="00DB0C27" w:rsidP="0088588D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DB0C27" w:rsidRPr="00FE16E0" w:rsidRDefault="00DB0C27" w:rsidP="0088588D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DB0C27" w:rsidRPr="00345486" w:rsidRDefault="00DB0C27" w:rsidP="00DB0C27">
      <w:pPr>
        <w:spacing w:after="120"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DB0C27" w:rsidRPr="00345486" w:rsidRDefault="00DB0C27" w:rsidP="00DB0C27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p w:rsidR="00DB0C27" w:rsidRPr="008C775A" w:rsidRDefault="00DB0C27" w:rsidP="00DB0C27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</w:p>
    <w:p w:rsidR="00DB0C27" w:rsidRDefault="00DB0C27"/>
    <w:sectPr w:rsidR="00DB0C27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B0C27"/>
    <w:rsid w:val="00565424"/>
    <w:rsid w:val="006F2BF3"/>
    <w:rsid w:val="00790D6E"/>
    <w:rsid w:val="008A24B1"/>
    <w:rsid w:val="00D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27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Company>Grizli777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2017-08-31T10:33:00Z</dcterms:created>
  <dcterms:modified xsi:type="dcterms:W3CDTF">2017-08-31T10:33:00Z</dcterms:modified>
</cp:coreProperties>
</file>